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34EF6534"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9B60CA">
        <w:rPr>
          <w:rFonts w:eastAsia="Times New Roman"/>
          <w:bCs/>
          <w:sz w:val="24"/>
          <w:szCs w:val="24"/>
          <w:lang w:eastAsia="ja-JP"/>
        </w:rPr>
        <w:t>GPP TSG-RAN WG2 #107</w:t>
      </w:r>
      <w:r w:rsidR="00110179">
        <w:rPr>
          <w:rFonts w:eastAsia="Times New Roman"/>
          <w:bCs/>
          <w:sz w:val="24"/>
          <w:szCs w:val="24"/>
          <w:lang w:eastAsia="ja-JP"/>
        </w:rPr>
        <w:t>bis</w:t>
      </w:r>
      <w:r w:rsidR="00D7765D">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500CFD" w:rsidRPr="00500CFD">
        <w:rPr>
          <w:rFonts w:eastAsia="Times New Roman"/>
          <w:bCs/>
          <w:sz w:val="24"/>
          <w:szCs w:val="24"/>
          <w:lang w:eastAsia="ja-JP"/>
        </w:rPr>
        <w:t>R2-1913921</w:t>
      </w:r>
    </w:p>
    <w:p w14:paraId="319329EA" w14:textId="75BBD5C3" w:rsidR="00110179" w:rsidRDefault="00110179" w:rsidP="00110179">
      <w:pPr>
        <w:pStyle w:val="3GPPHeader"/>
        <w:spacing w:after="0"/>
        <w:rPr>
          <w:rFonts w:ascii="Arial" w:eastAsia="Times New Roman" w:hAnsi="Arial"/>
          <w:bCs/>
          <w:noProof/>
          <w:szCs w:val="24"/>
          <w:lang w:eastAsia="ja-JP"/>
        </w:rPr>
      </w:pPr>
      <w:r>
        <w:rPr>
          <w:rFonts w:ascii="Arial" w:eastAsia="Times New Roman" w:hAnsi="Arial"/>
          <w:bCs/>
          <w:noProof/>
          <w:szCs w:val="24"/>
          <w:lang w:eastAsia="ja-JP"/>
        </w:rPr>
        <w:t>Chongqing, China, 14</w:t>
      </w:r>
      <w:r w:rsidRPr="00F70A08">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 </w:t>
      </w:r>
      <w:r w:rsidRPr="00102EB6">
        <w:rPr>
          <w:rFonts w:ascii="Arial" w:eastAsia="Times New Roman" w:hAnsi="Arial"/>
          <w:bCs/>
          <w:noProof/>
          <w:szCs w:val="24"/>
          <w:lang w:eastAsia="ja-JP"/>
        </w:rPr>
        <w:t>18</w:t>
      </w:r>
      <w:r w:rsidRPr="00F70A08">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102EB6">
        <w:rPr>
          <w:rFonts w:ascii="Arial" w:eastAsia="Times New Roman" w:hAnsi="Arial"/>
          <w:bCs/>
          <w:noProof/>
          <w:szCs w:val="24"/>
          <w:lang w:eastAsia="ja-JP"/>
        </w:rPr>
        <w:t>October 2019</w:t>
      </w:r>
    </w:p>
    <w:p w14:paraId="2C9DD292" w14:textId="77777777" w:rsidR="00705E1C" w:rsidRPr="0053682B" w:rsidRDefault="00705E1C" w:rsidP="00D7765D">
      <w:pPr>
        <w:pStyle w:val="3GPPHeader"/>
        <w:spacing w:after="0"/>
        <w:rPr>
          <w:rFonts w:ascii="Arial" w:hAnsi="Arial" w:cs="Arial"/>
          <w:szCs w:val="24"/>
        </w:rPr>
      </w:pPr>
    </w:p>
    <w:p w14:paraId="782CEDA7" w14:textId="3DD8F8DC"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D65A08">
        <w:rPr>
          <w:rFonts w:ascii="Arial" w:hAnsi="Arial" w:cs="Arial"/>
          <w:szCs w:val="24"/>
          <w:lang w:val="sv-SE"/>
        </w:rPr>
        <w:t xml:space="preserve">    6.10.4.3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bookmarkStart w:id="1" w:name="_GoBack"/>
      <w:bookmarkEnd w:id="1"/>
    </w:p>
    <w:p w14:paraId="726A18E0" w14:textId="76BF78DE" w:rsidR="00D7765D" w:rsidRPr="007D4867" w:rsidRDefault="00670368"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D65A08">
        <w:rPr>
          <w:b/>
          <w:sz w:val="24"/>
        </w:rPr>
        <w:t>Discussion on UE behavior for stored SCell/SCG configuration</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C97E141" w14:textId="77777777" w:rsidR="00D65A08" w:rsidRDefault="00D65A08" w:rsidP="00D65A08">
      <w:pPr>
        <w:pStyle w:val="Doc-text2"/>
        <w:tabs>
          <w:tab w:val="left" w:pos="340"/>
        </w:tabs>
        <w:ind w:left="0" w:firstLine="0"/>
        <w:jc w:val="both"/>
      </w:pPr>
      <w:r>
        <w:t>In RAN2#107bis, some agreements related to the early measurement configuration upon state transition is reached as following.</w:t>
      </w:r>
    </w:p>
    <w:p w14:paraId="59A93D99" w14:textId="77777777" w:rsidR="00D65A08" w:rsidRDefault="00D65A08" w:rsidP="00D65A08">
      <w:pPr>
        <w:pStyle w:val="Doc-text2"/>
      </w:pPr>
    </w:p>
    <w:p w14:paraId="4F1DD339" w14:textId="77777777" w:rsidR="004D4B82" w:rsidRDefault="004D4B82" w:rsidP="004D4B82">
      <w:pPr>
        <w:pStyle w:val="Doc-text2"/>
        <w:pBdr>
          <w:top w:val="single" w:sz="4" w:space="1" w:color="auto"/>
          <w:left w:val="single" w:sz="4" w:space="4" w:color="auto"/>
          <w:bottom w:val="single" w:sz="4" w:space="1" w:color="auto"/>
          <w:right w:val="single" w:sz="4" w:space="4" w:color="auto"/>
        </w:pBdr>
      </w:pPr>
      <w:r>
        <w:t>Agreements (Activation of SCells is not addressed by these agreements - to be discussed separately)</w:t>
      </w:r>
    </w:p>
    <w:p w14:paraId="463CFE6F" w14:textId="77777777" w:rsidR="004D4B82" w:rsidRDefault="004D4B82" w:rsidP="004D4B82">
      <w:pPr>
        <w:pStyle w:val="Doc-text2"/>
        <w:pBdr>
          <w:top w:val="single" w:sz="4" w:space="1" w:color="auto"/>
          <w:left w:val="single" w:sz="4" w:space="4" w:color="auto"/>
          <w:bottom w:val="single" w:sz="4" w:space="1" w:color="auto"/>
          <w:right w:val="single" w:sz="4" w:space="4" w:color="auto"/>
        </w:pBdr>
      </w:pPr>
      <w:r>
        <w:t>1</w:t>
      </w:r>
      <w:r>
        <w:tab/>
        <w:t xml:space="preserve">The LTE RRCConnectionResume message (Inactive to Connected) can contain the MCG SCell configuration and the associated UE behaviour in handling the SCell configuration is the same as in the Rel-15 RRC connection reconfiguration procedure. </w:t>
      </w:r>
    </w:p>
    <w:p w14:paraId="2CF9C22A" w14:textId="77777777" w:rsidR="004D4B82" w:rsidRDefault="004D4B82" w:rsidP="004D4B82">
      <w:pPr>
        <w:pStyle w:val="Doc-text2"/>
        <w:pBdr>
          <w:top w:val="single" w:sz="4" w:space="1" w:color="auto"/>
          <w:left w:val="single" w:sz="4" w:space="4" w:color="auto"/>
          <w:bottom w:val="single" w:sz="4" w:space="1" w:color="auto"/>
          <w:right w:val="single" w:sz="4" w:space="4" w:color="auto"/>
        </w:pBdr>
      </w:pPr>
      <w:r>
        <w:t>2</w:t>
      </w:r>
      <w:r>
        <w:tab/>
      </w:r>
      <w:r w:rsidRPr="004D4B82">
        <w:rPr>
          <w:highlight w:val="yellow"/>
        </w:rPr>
        <w:t>In NR and LTE Rel-16, the UE maintains the MCG SCell configuration upon the initiation of the resume procedure</w:t>
      </w:r>
      <w:r>
        <w:t>.</w:t>
      </w:r>
    </w:p>
    <w:p w14:paraId="049A96EF" w14:textId="77777777" w:rsidR="004D4B82" w:rsidRDefault="004D4B82" w:rsidP="004D4B82">
      <w:pPr>
        <w:pStyle w:val="Doc-text2"/>
        <w:pBdr>
          <w:top w:val="single" w:sz="4" w:space="1" w:color="auto"/>
          <w:left w:val="single" w:sz="4" w:space="4" w:color="auto"/>
          <w:bottom w:val="single" w:sz="4" w:space="1" w:color="auto"/>
          <w:right w:val="single" w:sz="4" w:space="4" w:color="auto"/>
        </w:pBdr>
      </w:pPr>
      <w:r>
        <w:t>3</w:t>
      </w:r>
      <w:r>
        <w:tab/>
        <w:t>The RRC(Connection)Resume message contains an indication to restore/resume the MCG SCells (noting that behaviour in legacy eNBs that don't support this feature needs to be considered).</w:t>
      </w:r>
    </w:p>
    <w:p w14:paraId="399D01DA" w14:textId="77777777" w:rsidR="004D4B82" w:rsidRDefault="004D4B82" w:rsidP="004D4B82">
      <w:pPr>
        <w:pStyle w:val="Doc-text2"/>
        <w:pBdr>
          <w:top w:val="single" w:sz="4" w:space="1" w:color="auto"/>
          <w:left w:val="single" w:sz="4" w:space="4" w:color="auto"/>
          <w:bottom w:val="single" w:sz="4" w:space="1" w:color="auto"/>
          <w:right w:val="single" w:sz="4" w:space="4" w:color="auto"/>
        </w:pBdr>
      </w:pPr>
      <w:r>
        <w:t>4</w:t>
      </w:r>
      <w:r>
        <w:tab/>
        <w:t xml:space="preserve">The (LTE and NR) RRC(Connection)Resume </w:t>
      </w:r>
      <w:r w:rsidRPr="00CC056E">
        <w:t>(Inactive to Connected)</w:t>
      </w:r>
      <w:r>
        <w:t>)message can contain the SCG configuration and the associated UE behaviour in handling the SCG configuration is the same as in the Rel-15 RRC (connection) reconfiguration procedure.</w:t>
      </w:r>
    </w:p>
    <w:p w14:paraId="575CD66B" w14:textId="77777777" w:rsidR="004D4B82" w:rsidRDefault="004D4B82" w:rsidP="004D4B82">
      <w:pPr>
        <w:pStyle w:val="Doc-text2"/>
        <w:pBdr>
          <w:top w:val="single" w:sz="4" w:space="1" w:color="auto"/>
          <w:left w:val="single" w:sz="4" w:space="4" w:color="auto"/>
          <w:bottom w:val="single" w:sz="4" w:space="1" w:color="auto"/>
          <w:right w:val="single" w:sz="4" w:space="4" w:color="auto"/>
        </w:pBdr>
      </w:pPr>
      <w:r>
        <w:t>5</w:t>
      </w:r>
      <w:r>
        <w:tab/>
      </w:r>
      <w:r w:rsidRPr="004D4B82">
        <w:rPr>
          <w:highlight w:val="yellow"/>
        </w:rPr>
        <w:t>In NR and LTE Rel-16, the UE maintains the SCG configuration upon the initiation of the resume procedure</w:t>
      </w:r>
      <w:r>
        <w:t>.</w:t>
      </w:r>
    </w:p>
    <w:p w14:paraId="1F9AB8FD" w14:textId="77777777" w:rsidR="004D4B82" w:rsidRDefault="004D4B82" w:rsidP="004D4B82">
      <w:pPr>
        <w:pStyle w:val="Doc-text2"/>
        <w:pBdr>
          <w:top w:val="single" w:sz="4" w:space="1" w:color="auto"/>
          <w:left w:val="single" w:sz="4" w:space="4" w:color="auto"/>
          <w:bottom w:val="single" w:sz="4" w:space="1" w:color="auto"/>
          <w:right w:val="single" w:sz="4" w:space="4" w:color="auto"/>
        </w:pBdr>
      </w:pPr>
      <w:r>
        <w:t>6</w:t>
      </w:r>
      <w:r>
        <w:tab/>
      </w:r>
      <w:r w:rsidRPr="00CC056E">
        <w:t xml:space="preserve">The RRC(Connection)Resume message contains an indication to restore/resume the </w:t>
      </w:r>
      <w:r>
        <w:t>SCG</w:t>
      </w:r>
      <w:r w:rsidRPr="00CC056E">
        <w:t xml:space="preserve"> (noting that behaviour in legacy e</w:t>
      </w:r>
      <w:r>
        <w:t>/g</w:t>
      </w:r>
      <w:r w:rsidRPr="00CC056E">
        <w:t>NBs that don't support this feature needs to be considered).</w:t>
      </w:r>
    </w:p>
    <w:p w14:paraId="0DB78DE4" w14:textId="77777777" w:rsidR="004D4B82" w:rsidRDefault="004D4B82" w:rsidP="00D65A08">
      <w:pPr>
        <w:pStyle w:val="Doc-text2"/>
        <w:tabs>
          <w:tab w:val="left" w:pos="340"/>
        </w:tabs>
        <w:ind w:left="0" w:firstLine="0"/>
        <w:jc w:val="both"/>
      </w:pPr>
    </w:p>
    <w:p w14:paraId="643CACD7" w14:textId="11515842" w:rsidR="00F81F1D" w:rsidRDefault="004D4B82" w:rsidP="008135C8">
      <w:pPr>
        <w:pStyle w:val="Doc-text2"/>
        <w:tabs>
          <w:tab w:val="left" w:pos="340"/>
        </w:tabs>
        <w:ind w:left="0" w:firstLine="0"/>
        <w:jc w:val="both"/>
      </w:pPr>
      <w:r>
        <w:t>RAN2 agrees that UE could maintain old SCG/SCell configuration upon resume</w:t>
      </w:r>
      <w:r w:rsidR="00521310">
        <w:t xml:space="preserve"> but the detail UE behavior on handling of stored SCG/SCell configuration need to be further discussed.</w:t>
      </w:r>
      <w:r>
        <w:t xml:space="preserve"> </w:t>
      </w:r>
      <w:r w:rsidR="00521310">
        <w:t xml:space="preserve">This paper provide our view on how to handle the stored SCG/SCell configuration. </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6B94E3FE" w14:textId="4AE88905" w:rsidR="00070726" w:rsidRDefault="00521310" w:rsidP="001E63E8">
      <w:pPr>
        <w:pStyle w:val="Doc-text2"/>
        <w:tabs>
          <w:tab w:val="left" w:pos="340"/>
        </w:tabs>
        <w:ind w:left="0" w:firstLine="0"/>
        <w:jc w:val="both"/>
        <w:rPr>
          <w:rFonts w:cs="Arial"/>
          <w:lang w:val="en-GB"/>
        </w:rPr>
      </w:pPr>
      <w:r>
        <w:rPr>
          <w:rFonts w:cs="Arial"/>
          <w:lang w:val="en-GB"/>
        </w:rPr>
        <w:t>RAN2 agrees that the NW could add SCG/SCell in MSG4 (RRCResume) during resume procedure. In o</w:t>
      </w:r>
      <w:r w:rsidR="00070726">
        <w:rPr>
          <w:rFonts w:cs="Arial"/>
          <w:lang w:val="en-GB"/>
        </w:rPr>
        <w:t xml:space="preserve">ur understanding, it is used for blind addition while PCell and SCell/SCG are collocated. The </w:t>
      </w:r>
      <w:r w:rsidR="009D2C39">
        <w:rPr>
          <w:rFonts w:cs="Arial"/>
          <w:lang w:val="en-GB"/>
        </w:rPr>
        <w:t>stored</w:t>
      </w:r>
      <w:r w:rsidR="00070726">
        <w:rPr>
          <w:rFonts w:cs="Arial"/>
          <w:lang w:val="en-GB"/>
        </w:rPr>
        <w:t xml:space="preserve"> SCG/SCell configuration will allow NW to do delta configuration based on old SCell/SCG configuration. </w:t>
      </w:r>
    </w:p>
    <w:p w14:paraId="4FA63ACB" w14:textId="77777777" w:rsidR="00070726" w:rsidRDefault="00070726" w:rsidP="001E63E8">
      <w:pPr>
        <w:pStyle w:val="Doc-text2"/>
        <w:tabs>
          <w:tab w:val="left" w:pos="340"/>
        </w:tabs>
        <w:ind w:left="0" w:firstLine="0"/>
        <w:jc w:val="both"/>
        <w:rPr>
          <w:rFonts w:cs="Arial"/>
          <w:lang w:val="en-GB"/>
        </w:rPr>
      </w:pPr>
    </w:p>
    <w:p w14:paraId="78B3A34E" w14:textId="2C33D411" w:rsidR="00521310" w:rsidRPr="00070726" w:rsidRDefault="00070726" w:rsidP="001E63E8">
      <w:pPr>
        <w:pStyle w:val="Doc-text2"/>
        <w:tabs>
          <w:tab w:val="left" w:pos="340"/>
        </w:tabs>
        <w:ind w:left="0" w:firstLine="0"/>
        <w:jc w:val="both"/>
        <w:rPr>
          <w:rFonts w:cs="Arial"/>
          <w:lang w:val="en-GB"/>
        </w:rPr>
      </w:pPr>
      <w:r>
        <w:rPr>
          <w:rFonts w:cs="Arial"/>
          <w:lang w:val="en-GB"/>
        </w:rPr>
        <w:t xml:space="preserve">There are some proposal that whether the UE should judge the stored SCG/SCell to be valid or not based on measurement result upon resume. We would like first clarify that the basic concept of INACTIVE is that CONNECTE mode measurement is suspended in the INACTIVE state. So, we think that UE should not </w:t>
      </w:r>
      <w:r w:rsidRPr="00070726">
        <w:rPr>
          <w:rFonts w:cs="Arial"/>
          <w:lang w:val="en-GB"/>
        </w:rPr>
        <w:t>mandate to measure stores SCG/SCell based on CONNECTED mode measurement configuration</w:t>
      </w:r>
      <w:r>
        <w:rPr>
          <w:rFonts w:cs="Arial"/>
          <w:lang w:val="en-GB"/>
        </w:rPr>
        <w:t xml:space="preserve">. It is still possible for NW to configure early measurement on that particular frequency. </w:t>
      </w:r>
    </w:p>
    <w:p w14:paraId="1E8CE48B" w14:textId="77777777" w:rsidR="00521310" w:rsidRPr="001121F3" w:rsidRDefault="00521310" w:rsidP="001E63E8">
      <w:pPr>
        <w:pStyle w:val="Doc-text2"/>
        <w:tabs>
          <w:tab w:val="left" w:pos="340"/>
        </w:tabs>
        <w:ind w:left="0" w:firstLine="0"/>
        <w:jc w:val="both"/>
        <w:rPr>
          <w:b/>
          <w:lang w:val="en-GB"/>
        </w:rPr>
      </w:pPr>
    </w:p>
    <w:p w14:paraId="179CAE40" w14:textId="3D7C2EFE" w:rsidR="00556292" w:rsidRDefault="00556292" w:rsidP="00556292">
      <w:pPr>
        <w:pStyle w:val="Doc-text2"/>
        <w:tabs>
          <w:tab w:val="left" w:pos="340"/>
        </w:tabs>
        <w:ind w:left="0" w:firstLine="0"/>
        <w:jc w:val="both"/>
        <w:rPr>
          <w:b/>
        </w:rPr>
      </w:pPr>
      <w:r w:rsidRPr="00B9627E">
        <w:rPr>
          <w:b/>
        </w:rPr>
        <w:t>Proposal</w:t>
      </w:r>
      <w:r w:rsidR="00535960">
        <w:rPr>
          <w:b/>
        </w:rPr>
        <w:t xml:space="preserve"> 1</w:t>
      </w:r>
      <w:r>
        <w:rPr>
          <w:b/>
        </w:rPr>
        <w:t xml:space="preserve">: </w:t>
      </w:r>
      <w:r w:rsidR="00A12660">
        <w:rPr>
          <w:b/>
        </w:rPr>
        <w:t xml:space="preserve">The </w:t>
      </w:r>
      <w:r w:rsidR="00521310">
        <w:rPr>
          <w:b/>
        </w:rPr>
        <w:t>UE shall not mandate to</w:t>
      </w:r>
      <w:r w:rsidR="00F1403A">
        <w:rPr>
          <w:b/>
        </w:rPr>
        <w:t xml:space="preserve"> measure stored</w:t>
      </w:r>
      <w:r w:rsidR="00521310">
        <w:rPr>
          <w:b/>
        </w:rPr>
        <w:t xml:space="preserve"> SCG/SCell based on CONNECTED mode measurement configuration (It is still possible based on early measurement configuration)</w:t>
      </w:r>
      <w:r w:rsidR="00CE1C39">
        <w:rPr>
          <w:b/>
        </w:rPr>
        <w:t>.</w:t>
      </w:r>
    </w:p>
    <w:p w14:paraId="4F22AF9A" w14:textId="77777777" w:rsidR="000A27AC" w:rsidRDefault="000A27AC" w:rsidP="00EF20EF">
      <w:pPr>
        <w:pStyle w:val="Doc-text2"/>
        <w:tabs>
          <w:tab w:val="left" w:pos="340"/>
        </w:tabs>
        <w:ind w:left="0" w:firstLine="0"/>
        <w:jc w:val="both"/>
      </w:pPr>
    </w:p>
    <w:p w14:paraId="33D25A88" w14:textId="464758D1" w:rsidR="00331EE4" w:rsidRDefault="000521BB" w:rsidP="000251B2">
      <w:pPr>
        <w:pStyle w:val="Doc-text2"/>
        <w:tabs>
          <w:tab w:val="left" w:pos="340"/>
        </w:tabs>
        <w:ind w:left="0" w:firstLine="0"/>
        <w:jc w:val="both"/>
        <w:rPr>
          <w:b/>
        </w:rPr>
      </w:pPr>
      <w:r>
        <w:t xml:space="preserve">Regarding to whether the UE should indicate the validity of SCG in MSG3, we prefer not to have this kind of optimization in Rel-16. There is one </w:t>
      </w:r>
      <w:r w:rsidR="009D2C39" w:rsidRPr="009D2C39">
        <w:t xml:space="preserve">spare </w:t>
      </w:r>
      <w:r>
        <w:t>bit left in MSG3 and we understand that it is reserved for essential bug fixing. Whether NW could configure fast DC or CA is not critical. Thus we propose not have this new indicator</w:t>
      </w:r>
      <w:r w:rsidR="009D2C39">
        <w:t xml:space="preserve"> in MSG3</w:t>
      </w:r>
      <w:r>
        <w:t xml:space="preserve">. </w:t>
      </w:r>
      <w:r w:rsidR="00462400">
        <w:t xml:space="preserve"> </w:t>
      </w:r>
    </w:p>
    <w:p w14:paraId="191424D1" w14:textId="77777777" w:rsidR="000251B2" w:rsidRDefault="000251B2" w:rsidP="00EF20EF">
      <w:pPr>
        <w:pStyle w:val="Doc-text2"/>
        <w:tabs>
          <w:tab w:val="left" w:pos="340"/>
        </w:tabs>
        <w:ind w:left="0" w:firstLine="0"/>
        <w:jc w:val="both"/>
      </w:pPr>
    </w:p>
    <w:p w14:paraId="5940F807" w14:textId="33EE6474" w:rsidR="00D63EF1" w:rsidRDefault="00D63EF1" w:rsidP="00D63EF1">
      <w:pPr>
        <w:pStyle w:val="Doc-text2"/>
        <w:tabs>
          <w:tab w:val="left" w:pos="340"/>
        </w:tabs>
        <w:ind w:left="0" w:firstLine="0"/>
        <w:jc w:val="both"/>
        <w:rPr>
          <w:b/>
        </w:rPr>
      </w:pPr>
      <w:r w:rsidRPr="00B9627E">
        <w:rPr>
          <w:b/>
        </w:rPr>
        <w:t>Proposal</w:t>
      </w:r>
      <w:r>
        <w:rPr>
          <w:b/>
        </w:rPr>
        <w:t xml:space="preserve"> 2: </w:t>
      </w:r>
      <w:r w:rsidR="00521310">
        <w:rPr>
          <w:b/>
        </w:rPr>
        <w:t>Indicator on whether the stored SCG/SCell is valid (based on measurement) is not added in MSG3 in REL-16.</w:t>
      </w:r>
    </w:p>
    <w:p w14:paraId="02EEB452" w14:textId="77777777" w:rsidR="000251B2" w:rsidRDefault="000251B2" w:rsidP="00EF20EF">
      <w:pPr>
        <w:pStyle w:val="Doc-text2"/>
        <w:tabs>
          <w:tab w:val="left" w:pos="340"/>
        </w:tabs>
        <w:ind w:left="0" w:firstLine="0"/>
        <w:jc w:val="both"/>
      </w:pPr>
    </w:p>
    <w:p w14:paraId="3AA59000" w14:textId="1EA2C333" w:rsidR="00521310" w:rsidRDefault="009D2C39" w:rsidP="00EF20EF">
      <w:pPr>
        <w:pStyle w:val="Doc-text2"/>
        <w:tabs>
          <w:tab w:val="left" w:pos="340"/>
        </w:tabs>
        <w:ind w:left="0" w:firstLine="0"/>
        <w:jc w:val="both"/>
      </w:pPr>
      <w:r>
        <w:t xml:space="preserve">Some companies propose to have this indicator in MSG5. </w:t>
      </w:r>
      <w:r w:rsidR="00A82112">
        <w:t xml:space="preserve">It unclear to us why this method could reduce the DC/CA setup latency. Based on </w:t>
      </w:r>
      <w:r w:rsidR="00B17B04">
        <w:t xml:space="preserve">NR </w:t>
      </w:r>
      <w:r w:rsidR="00A82112">
        <w:t xml:space="preserve">early </w:t>
      </w:r>
      <w:r w:rsidR="00B17B04">
        <w:t xml:space="preserve">measurement procedure, the UE </w:t>
      </w:r>
      <w:r w:rsidR="00B17B04" w:rsidRPr="00B17B04">
        <w:t>could report multiple candidate PSCells</w:t>
      </w:r>
      <w:r w:rsidR="00B17B04">
        <w:t xml:space="preserve"> / SCells</w:t>
      </w:r>
      <w:r w:rsidR="00B17B04" w:rsidRPr="00B17B04">
        <w:t xml:space="preserve"> in the </w:t>
      </w:r>
      <w:r w:rsidR="00B17B04">
        <w:t>MSG5 (</w:t>
      </w:r>
      <w:r w:rsidR="00B17B04" w:rsidRPr="00B17B04">
        <w:rPr>
          <w:i/>
        </w:rPr>
        <w:t>ResumeComplete</w:t>
      </w:r>
      <w:r w:rsidR="00B17B04">
        <w:t xml:space="preserve">). So, it is unclear why we need this indicator especially while NW could configure early measurement on the same frequencies of stored PSCell/SCell. Thus </w:t>
      </w:r>
      <w:r w:rsidR="005109D3">
        <w:t>we propose not have this new indicator in MSG5, either.</w:t>
      </w:r>
    </w:p>
    <w:p w14:paraId="14392D94" w14:textId="77777777" w:rsidR="00521310" w:rsidRDefault="00521310" w:rsidP="00EF20EF">
      <w:pPr>
        <w:pStyle w:val="Doc-text2"/>
        <w:tabs>
          <w:tab w:val="left" w:pos="340"/>
        </w:tabs>
        <w:ind w:left="0" w:firstLine="0"/>
        <w:jc w:val="both"/>
      </w:pPr>
    </w:p>
    <w:p w14:paraId="54BEB9E5" w14:textId="0E113225" w:rsidR="00521310" w:rsidRDefault="00521310" w:rsidP="00521310">
      <w:pPr>
        <w:pStyle w:val="Doc-text2"/>
        <w:tabs>
          <w:tab w:val="left" w:pos="340"/>
        </w:tabs>
        <w:ind w:left="0" w:firstLine="0"/>
        <w:jc w:val="both"/>
        <w:rPr>
          <w:b/>
        </w:rPr>
      </w:pPr>
      <w:r w:rsidRPr="00B9627E">
        <w:rPr>
          <w:b/>
        </w:rPr>
        <w:lastRenderedPageBreak/>
        <w:t>Proposal</w:t>
      </w:r>
      <w:r>
        <w:rPr>
          <w:b/>
        </w:rPr>
        <w:t xml:space="preserve"> 3: Indicator on whether the stored SCG/SCell is valid (based on measurement) is not added in MSG5 in REL-16.</w:t>
      </w:r>
    </w:p>
    <w:p w14:paraId="7DF775EC" w14:textId="77777777" w:rsidR="00B17B04" w:rsidRDefault="00B17B04" w:rsidP="00EF20EF">
      <w:pPr>
        <w:pStyle w:val="Doc-text2"/>
        <w:tabs>
          <w:tab w:val="left" w:pos="340"/>
        </w:tabs>
        <w:ind w:left="0" w:firstLine="0"/>
        <w:jc w:val="both"/>
      </w:pPr>
    </w:p>
    <w:p w14:paraId="70964255" w14:textId="0FC9005B" w:rsidR="00521310" w:rsidRDefault="00B17B04" w:rsidP="00EF20EF">
      <w:pPr>
        <w:pStyle w:val="Doc-text2"/>
        <w:tabs>
          <w:tab w:val="left" w:pos="340"/>
        </w:tabs>
        <w:ind w:left="0" w:firstLine="0"/>
        <w:jc w:val="both"/>
      </w:pPr>
      <w:r>
        <w:t xml:space="preserve">Another </w:t>
      </w:r>
      <w:r w:rsidR="008C751F">
        <w:t xml:space="preserve">related </w:t>
      </w:r>
      <w:r>
        <w:t xml:space="preserve">aspect </w:t>
      </w:r>
      <w:r w:rsidR="008C751F">
        <w:t>is that whether to have “</w:t>
      </w:r>
      <w:r w:rsidR="008C751F" w:rsidRPr="008C751F">
        <w:t>Suspended SCG</w:t>
      </w:r>
      <w:r w:rsidR="008C751F">
        <w:t>” in CONNECTED. RAN2 never discuss this concept online. Although we total agree it is beneficial to have the “</w:t>
      </w:r>
      <w:r w:rsidR="008C751F" w:rsidRPr="008C751F">
        <w:t>Suspended SCG</w:t>
      </w:r>
      <w:r w:rsidR="008C751F">
        <w:t xml:space="preserve">”, we also see lets of work to complete this item. Thus we think it better put this in REL-17 for further study. </w:t>
      </w:r>
    </w:p>
    <w:p w14:paraId="5692CEDD" w14:textId="77777777" w:rsidR="004D4B82" w:rsidRDefault="004D4B82" w:rsidP="00EF20EF">
      <w:pPr>
        <w:pStyle w:val="Doc-text2"/>
        <w:tabs>
          <w:tab w:val="left" w:pos="340"/>
        </w:tabs>
        <w:ind w:left="0" w:firstLine="0"/>
        <w:jc w:val="both"/>
      </w:pPr>
    </w:p>
    <w:p w14:paraId="121F3E4B" w14:textId="1CA25B57" w:rsidR="00B17B04" w:rsidRDefault="00B17B04" w:rsidP="00B17B04">
      <w:pPr>
        <w:pStyle w:val="Doc-text2"/>
        <w:tabs>
          <w:tab w:val="left" w:pos="340"/>
        </w:tabs>
        <w:ind w:left="0" w:firstLine="0"/>
        <w:jc w:val="both"/>
        <w:rPr>
          <w:b/>
        </w:rPr>
      </w:pPr>
      <w:r w:rsidRPr="00B9627E">
        <w:rPr>
          <w:b/>
        </w:rPr>
        <w:t>Proposal</w:t>
      </w:r>
      <w:r>
        <w:rPr>
          <w:b/>
        </w:rPr>
        <w:t xml:space="preserve"> 4: </w:t>
      </w:r>
      <w:r w:rsidR="009B4C46">
        <w:rPr>
          <w:b/>
        </w:rPr>
        <w:t xml:space="preserve">RAN2 does not pursue the </w:t>
      </w:r>
      <w:r>
        <w:rPr>
          <w:b/>
        </w:rPr>
        <w:t>concept of “Suspended SCG”</w:t>
      </w:r>
      <w:r w:rsidR="009B4C46">
        <w:rPr>
          <w:b/>
        </w:rPr>
        <w:t xml:space="preserve"> in REL-16.</w:t>
      </w:r>
    </w:p>
    <w:p w14:paraId="3F9D56FF" w14:textId="77777777" w:rsidR="00B17B04" w:rsidRDefault="00B17B04" w:rsidP="00EF20EF">
      <w:pPr>
        <w:pStyle w:val="Doc-text2"/>
        <w:tabs>
          <w:tab w:val="left" w:pos="340"/>
        </w:tabs>
        <w:ind w:left="0" w:firstLine="0"/>
        <w:jc w:val="both"/>
      </w:pPr>
    </w:p>
    <w:p w14:paraId="28AF4A3A" w14:textId="4443682F" w:rsidR="00521310" w:rsidRDefault="00521310" w:rsidP="00521310">
      <w:pPr>
        <w:pStyle w:val="Doc-text2"/>
        <w:tabs>
          <w:tab w:val="left" w:pos="340"/>
        </w:tabs>
        <w:ind w:left="0" w:firstLine="0"/>
        <w:jc w:val="both"/>
        <w:rPr>
          <w:b/>
        </w:rPr>
      </w:pPr>
      <w:r w:rsidRPr="00B9627E">
        <w:rPr>
          <w:b/>
        </w:rPr>
        <w:t>Proposal</w:t>
      </w:r>
      <w:r w:rsidR="00B17B04">
        <w:rPr>
          <w:b/>
        </w:rPr>
        <w:t xml:space="preserve"> 5</w:t>
      </w:r>
      <w:r>
        <w:rPr>
          <w:b/>
        </w:rPr>
        <w:t xml:space="preserve">: The concept of “Suspended SCG” could be considered in REL-17 from RAN2 perspective. Final decision is up to RAN plenary. </w:t>
      </w:r>
    </w:p>
    <w:p w14:paraId="59F73E6B" w14:textId="77777777" w:rsidR="004D4B82" w:rsidRDefault="004D4B82"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5F5DDA05" w14:textId="77777777" w:rsidR="00ED7338" w:rsidRDefault="00ED7338" w:rsidP="00ED7338">
      <w:pPr>
        <w:pStyle w:val="Doc-text2"/>
        <w:tabs>
          <w:tab w:val="left" w:pos="340"/>
        </w:tabs>
        <w:ind w:left="0" w:firstLine="0"/>
        <w:jc w:val="both"/>
        <w:rPr>
          <w:b/>
        </w:rPr>
      </w:pPr>
      <w:r w:rsidRPr="00B9627E">
        <w:rPr>
          <w:b/>
        </w:rPr>
        <w:t>Proposal</w:t>
      </w:r>
      <w:r>
        <w:rPr>
          <w:b/>
        </w:rPr>
        <w:t xml:space="preserve"> 1: The UE shall not mandate to measure stored SCG/SCell based on CONNECTED mode measurement configuration (It is still possible based on early measurement configuration).</w:t>
      </w:r>
    </w:p>
    <w:p w14:paraId="4EDB8D3F" w14:textId="77777777" w:rsidR="006215FC" w:rsidRDefault="006215FC" w:rsidP="006215FC">
      <w:pPr>
        <w:pStyle w:val="Doc-text2"/>
        <w:tabs>
          <w:tab w:val="left" w:pos="340"/>
        </w:tabs>
        <w:ind w:left="0" w:firstLine="0"/>
        <w:jc w:val="both"/>
        <w:rPr>
          <w:b/>
        </w:rPr>
      </w:pPr>
    </w:p>
    <w:p w14:paraId="4482DCCC" w14:textId="77777777" w:rsidR="00ED7338" w:rsidRDefault="00ED7338" w:rsidP="00ED7338">
      <w:pPr>
        <w:pStyle w:val="Doc-text2"/>
        <w:tabs>
          <w:tab w:val="left" w:pos="340"/>
        </w:tabs>
        <w:ind w:left="0" w:firstLine="0"/>
        <w:jc w:val="both"/>
        <w:rPr>
          <w:b/>
        </w:rPr>
      </w:pPr>
      <w:r w:rsidRPr="00B9627E">
        <w:rPr>
          <w:b/>
        </w:rPr>
        <w:t>Proposal</w:t>
      </w:r>
      <w:r>
        <w:rPr>
          <w:b/>
        </w:rPr>
        <w:t xml:space="preserve"> 2: Indicator on whether the stored SCG/SCell is valid (based on measurement) is not added in MSG3 in REL-16.</w:t>
      </w:r>
    </w:p>
    <w:p w14:paraId="7194A103" w14:textId="1D50CABF" w:rsidR="00F52B90" w:rsidRDefault="00F52B90" w:rsidP="009517E9">
      <w:pPr>
        <w:spacing w:after="0"/>
        <w:rPr>
          <w:rFonts w:ascii="Arial" w:hAnsi="Arial" w:cs="Arial"/>
          <w:lang w:val="en-US" w:eastAsia="ko-KR"/>
        </w:rPr>
      </w:pPr>
    </w:p>
    <w:p w14:paraId="08A20E84" w14:textId="77777777" w:rsidR="00ED7338" w:rsidRDefault="00ED7338" w:rsidP="00ED7338">
      <w:pPr>
        <w:pStyle w:val="Doc-text2"/>
        <w:tabs>
          <w:tab w:val="left" w:pos="340"/>
        </w:tabs>
        <w:ind w:left="0" w:firstLine="0"/>
        <w:jc w:val="both"/>
        <w:rPr>
          <w:b/>
        </w:rPr>
      </w:pPr>
      <w:r w:rsidRPr="00B9627E">
        <w:rPr>
          <w:b/>
        </w:rPr>
        <w:t>Proposal</w:t>
      </w:r>
      <w:r>
        <w:rPr>
          <w:b/>
        </w:rPr>
        <w:t xml:space="preserve"> 3: Indicator on whether the stored SCG/SCell is valid (based on measurement) is not added in MSG5 in REL-16.</w:t>
      </w:r>
    </w:p>
    <w:p w14:paraId="785FA74C" w14:textId="77777777" w:rsidR="00ED7338" w:rsidRDefault="00ED7338" w:rsidP="009517E9">
      <w:pPr>
        <w:spacing w:after="0"/>
        <w:rPr>
          <w:rFonts w:ascii="Arial" w:hAnsi="Arial" w:cs="Arial"/>
          <w:lang w:val="en-US" w:eastAsia="ko-KR"/>
        </w:rPr>
      </w:pPr>
    </w:p>
    <w:p w14:paraId="736F2EBD" w14:textId="77777777" w:rsidR="00ED7338" w:rsidRDefault="00ED7338" w:rsidP="00ED7338">
      <w:pPr>
        <w:pStyle w:val="Doc-text2"/>
        <w:tabs>
          <w:tab w:val="left" w:pos="340"/>
        </w:tabs>
        <w:ind w:left="0" w:firstLine="0"/>
        <w:jc w:val="both"/>
        <w:rPr>
          <w:b/>
        </w:rPr>
      </w:pPr>
      <w:r w:rsidRPr="00B9627E">
        <w:rPr>
          <w:b/>
        </w:rPr>
        <w:t>Proposal</w:t>
      </w:r>
      <w:r>
        <w:rPr>
          <w:b/>
        </w:rPr>
        <w:t xml:space="preserve"> 4: RAN2 does not pursue the concept of “Suspended SCG” in REL-16.</w:t>
      </w:r>
    </w:p>
    <w:p w14:paraId="4C1393D3" w14:textId="77777777" w:rsidR="00ED7338" w:rsidRDefault="00ED7338" w:rsidP="009517E9">
      <w:pPr>
        <w:spacing w:after="0"/>
        <w:rPr>
          <w:rFonts w:ascii="Arial" w:hAnsi="Arial" w:cs="Arial"/>
          <w:lang w:val="en-US" w:eastAsia="ko-KR"/>
        </w:rPr>
      </w:pPr>
    </w:p>
    <w:p w14:paraId="7DD2BCD8" w14:textId="77777777" w:rsidR="00ED7338" w:rsidRDefault="00ED7338" w:rsidP="00ED7338">
      <w:pPr>
        <w:pStyle w:val="Doc-text2"/>
        <w:tabs>
          <w:tab w:val="left" w:pos="340"/>
        </w:tabs>
        <w:ind w:left="0" w:firstLine="0"/>
        <w:jc w:val="both"/>
        <w:rPr>
          <w:b/>
        </w:rPr>
      </w:pPr>
      <w:r w:rsidRPr="00B9627E">
        <w:rPr>
          <w:b/>
        </w:rPr>
        <w:t>Proposal</w:t>
      </w:r>
      <w:r>
        <w:rPr>
          <w:b/>
        </w:rPr>
        <w:t xml:space="preserve"> 5: The concept of “Suspended SCG” could be considered in REL-17 from RAN2 perspective. Final decision is up to RAN plenary. </w:t>
      </w:r>
    </w:p>
    <w:p w14:paraId="24AC3750" w14:textId="77777777" w:rsidR="00ED7338" w:rsidRPr="00ED7338" w:rsidRDefault="00ED7338" w:rsidP="009517E9">
      <w:pPr>
        <w:spacing w:after="0"/>
        <w:rPr>
          <w:rFonts w:ascii="Arial" w:hAnsi="Arial" w:cs="Arial"/>
          <w:lang w:val="en-US" w:eastAsia="ko-KR"/>
        </w:rPr>
      </w:pPr>
    </w:p>
    <w:sectPr w:rsidR="00ED7338" w:rsidRPr="00ED7338"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368BB" w14:textId="77777777" w:rsidR="00EB0C8F" w:rsidRDefault="00EB0C8F">
      <w:r>
        <w:separator/>
      </w:r>
    </w:p>
  </w:endnote>
  <w:endnote w:type="continuationSeparator" w:id="0">
    <w:p w14:paraId="495A7D7F" w14:textId="77777777" w:rsidR="00EB0C8F" w:rsidRDefault="00EB0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D1F13" w14:textId="77777777" w:rsidR="00EB0C8F" w:rsidRDefault="00EB0C8F">
      <w:r>
        <w:separator/>
      </w:r>
    </w:p>
  </w:footnote>
  <w:footnote w:type="continuationSeparator" w:id="0">
    <w:p w14:paraId="08AB7334" w14:textId="77777777" w:rsidR="00EB0C8F" w:rsidRDefault="00EB0C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2"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4"/>
  </w:num>
  <w:num w:numId="4">
    <w:abstractNumId w:val="17"/>
  </w:num>
  <w:num w:numId="5">
    <w:abstractNumId w:val="13"/>
  </w:num>
  <w:num w:numId="6">
    <w:abstractNumId w:val="28"/>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5"/>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45"/>
  </w:num>
  <w:num w:numId="16">
    <w:abstractNumId w:val="34"/>
  </w:num>
  <w:num w:numId="17">
    <w:abstractNumId w:val="44"/>
  </w:num>
  <w:num w:numId="18">
    <w:abstractNumId w:val="23"/>
  </w:num>
  <w:num w:numId="19">
    <w:abstractNumId w:val="15"/>
  </w:num>
  <w:num w:numId="20">
    <w:abstractNumId w:val="42"/>
  </w:num>
  <w:num w:numId="21">
    <w:abstractNumId w:val="33"/>
  </w:num>
  <w:num w:numId="22">
    <w:abstractNumId w:val="16"/>
  </w:num>
  <w:num w:numId="23">
    <w:abstractNumId w:val="6"/>
  </w:num>
  <w:num w:numId="24">
    <w:abstractNumId w:val="14"/>
  </w:num>
  <w:num w:numId="25">
    <w:abstractNumId w:val="4"/>
  </w:num>
  <w:num w:numId="26">
    <w:abstractNumId w:val="25"/>
  </w:num>
  <w:num w:numId="27">
    <w:abstractNumId w:val="40"/>
  </w:num>
  <w:num w:numId="28">
    <w:abstractNumId w:val="30"/>
  </w:num>
  <w:num w:numId="29">
    <w:abstractNumId w:val="38"/>
  </w:num>
  <w:num w:numId="30">
    <w:abstractNumId w:val="18"/>
  </w:num>
  <w:num w:numId="31">
    <w:abstractNumId w:val="31"/>
  </w:num>
  <w:num w:numId="32">
    <w:abstractNumId w:val="7"/>
  </w:num>
  <w:num w:numId="33">
    <w:abstractNumId w:val="22"/>
  </w:num>
  <w:num w:numId="34">
    <w:abstractNumId w:val="32"/>
  </w:num>
  <w:num w:numId="35">
    <w:abstractNumId w:val="12"/>
  </w:num>
  <w:num w:numId="36">
    <w:abstractNumId w:val="41"/>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6"/>
  </w:num>
  <w:num w:numId="39">
    <w:abstractNumId w:val="19"/>
  </w:num>
  <w:num w:numId="40">
    <w:abstractNumId w:val="9"/>
  </w:num>
  <w:num w:numId="41">
    <w:abstractNumId w:val="26"/>
  </w:num>
  <w:num w:numId="42">
    <w:abstractNumId w:val="27"/>
  </w:num>
  <w:num w:numId="43">
    <w:abstractNumId w:val="39"/>
  </w:num>
  <w:num w:numId="44">
    <w:abstractNumId w:val="11"/>
  </w:num>
  <w:num w:numId="45">
    <w:abstractNumId w:val="21"/>
  </w:num>
  <w:num w:numId="46">
    <w:abstractNumId w:val="37"/>
  </w:num>
  <w:num w:numId="4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1BB"/>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726"/>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4B82"/>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0CFD"/>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09D3"/>
    <w:rsid w:val="005115C9"/>
    <w:rsid w:val="0051246D"/>
    <w:rsid w:val="00513269"/>
    <w:rsid w:val="00513D6A"/>
    <w:rsid w:val="005163AB"/>
    <w:rsid w:val="00516D02"/>
    <w:rsid w:val="0051793B"/>
    <w:rsid w:val="005204A5"/>
    <w:rsid w:val="00520A35"/>
    <w:rsid w:val="0052117A"/>
    <w:rsid w:val="00521310"/>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8E0"/>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51F"/>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4D8B"/>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17E9"/>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C46"/>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2C39"/>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2112"/>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17B04"/>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DD1"/>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04A0"/>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1C39"/>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08"/>
    <w:rsid w:val="00D65ABD"/>
    <w:rsid w:val="00D67049"/>
    <w:rsid w:val="00D67096"/>
    <w:rsid w:val="00D67267"/>
    <w:rsid w:val="00D67829"/>
    <w:rsid w:val="00D6792A"/>
    <w:rsid w:val="00D67986"/>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0C8F"/>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338"/>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03A"/>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2C63B-B29E-4457-AE40-0374D365F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769</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2019-10-04T06:10:00Z</dcterms:modified>
</cp:coreProperties>
</file>